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18" w:rsidRPr="00A35D99" w:rsidRDefault="00A35D99">
      <w:pPr>
        <w:rPr>
          <w:rFonts w:ascii="Calibri" w:hAnsi="Calibri"/>
          <w:b/>
          <w:sz w:val="20"/>
        </w:rPr>
      </w:pPr>
      <w:r w:rsidRPr="00A35D99">
        <w:rPr>
          <w:rFonts w:ascii="Calibri" w:hAnsi="Calibri"/>
          <w:b/>
          <w:sz w:val="20"/>
          <w:u w:val="single"/>
        </w:rPr>
        <w:t>PRIMARY SOURCE:</w:t>
      </w:r>
      <w:r w:rsidRPr="00A35D99">
        <w:rPr>
          <w:rFonts w:ascii="Calibri" w:hAnsi="Calibri"/>
          <w:b/>
          <w:sz w:val="20"/>
        </w:rPr>
        <w:t xml:space="preserve"> </w:t>
      </w:r>
      <w:r w:rsidR="00335318" w:rsidRPr="00335318">
        <w:rPr>
          <w:b/>
        </w:rPr>
        <w:t>Woodrow Wilson, speech to the United States Congress outlining his goals for ending World War I, “The Fourteen Points,” 1918</w:t>
      </w:r>
    </w:p>
    <w:p w:rsidR="00A35D99" w:rsidRDefault="00335318" w:rsidP="005D4159">
      <w:pPr>
        <w:jc w:val="center"/>
        <w:rPr>
          <w:rFonts w:ascii="Calibri" w:hAnsi="Calibri"/>
          <w:sz w:val="20"/>
        </w:rPr>
      </w:pPr>
      <w:r>
        <w:rPr>
          <w:noProof/>
        </w:rPr>
        <w:drawing>
          <wp:inline distT="0" distB="0" distL="0" distR="0" wp14:anchorId="18AB5819" wp14:editId="46E7AB2E">
            <wp:extent cx="1698222" cy="1960880"/>
            <wp:effectExtent l="0" t="0" r="0" b="127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727" cy="1962618"/>
                    </a:xfrm>
                    <a:prstGeom prst="rect">
                      <a:avLst/>
                    </a:prstGeom>
                    <a:noFill/>
                    <a:ln>
                      <a:noFill/>
                    </a:ln>
                  </pic:spPr>
                </pic:pic>
              </a:graphicData>
            </a:graphic>
          </wp:inline>
        </w:drawing>
      </w:r>
      <w:r>
        <w:rPr>
          <w:rFonts w:ascii="Calibri" w:hAnsi="Calibri"/>
          <w:sz w:val="20"/>
        </w:rPr>
        <w:t xml:space="preserve">   </w:t>
      </w:r>
      <w:r>
        <w:rPr>
          <w:noProof/>
        </w:rPr>
        <w:drawing>
          <wp:inline distT="0" distB="0" distL="0" distR="0" wp14:anchorId="37460049" wp14:editId="74764A3E">
            <wp:extent cx="2788920" cy="1668780"/>
            <wp:effectExtent l="0" t="0" r="0" b="7620"/>
            <wp:docPr id="3" name="Picture 3" descr="Image result for fourteen points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urteen points spee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920" cy="1668780"/>
                    </a:xfrm>
                    <a:prstGeom prst="rect">
                      <a:avLst/>
                    </a:prstGeom>
                    <a:noFill/>
                    <a:ln>
                      <a:noFill/>
                    </a:ln>
                  </pic:spPr>
                </pic:pic>
              </a:graphicData>
            </a:graphic>
          </wp:inline>
        </w:drawing>
      </w:r>
      <w:r>
        <w:rPr>
          <w:rFonts w:ascii="Calibri" w:hAnsi="Calibri"/>
          <w:sz w:val="20"/>
        </w:rPr>
        <w:t xml:space="preserve">   </w:t>
      </w:r>
      <w:r>
        <w:rPr>
          <w:noProof/>
        </w:rPr>
        <w:drawing>
          <wp:inline distT="0" distB="0" distL="0" distR="0" wp14:anchorId="67561FFA" wp14:editId="08B9C902">
            <wp:extent cx="1509076" cy="1917700"/>
            <wp:effectExtent l="0" t="0" r="0" b="635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80" cy="1921390"/>
                    </a:xfrm>
                    <a:prstGeom prst="rect">
                      <a:avLst/>
                    </a:prstGeom>
                    <a:noFill/>
                    <a:ln>
                      <a:noFill/>
                    </a:ln>
                  </pic:spPr>
                </pic:pic>
              </a:graphicData>
            </a:graphic>
          </wp:inline>
        </w:drawing>
      </w: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sz w:val="22"/>
          <w:szCs w:val="22"/>
        </w:rPr>
        <w:t xml:space="preserve">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 </w:t>
      </w:r>
    </w:p>
    <w:p w:rsidR="00335318" w:rsidRPr="00FB0533" w:rsidRDefault="00335318" w:rsidP="00335318">
      <w:pPr>
        <w:pStyle w:val="Normal1"/>
        <w:rPr>
          <w:rFonts w:ascii="Cambria" w:eastAsia="Georgia" w:hAnsi="Cambria" w:cs="Georgia"/>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sz w:val="22"/>
          <w:szCs w:val="22"/>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this: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I.</w:t>
      </w:r>
      <w:r w:rsidRPr="00FB0533">
        <w:rPr>
          <w:rFonts w:ascii="Cambria" w:eastAsia="Georgia" w:hAnsi="Cambria" w:cs="Georgia"/>
          <w:sz w:val="22"/>
          <w:szCs w:val="22"/>
        </w:rPr>
        <w:t xml:space="preserve"> Open covenants of peace, openly arrived at, after which there shall be no private international understandings of any kind but diplomacy shall proceed always frankly and in the public view.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II.</w:t>
      </w:r>
      <w:r w:rsidRPr="00FB0533">
        <w:rPr>
          <w:rFonts w:ascii="Cambria" w:eastAsia="Georgia" w:hAnsi="Cambria" w:cs="Georgia"/>
          <w:sz w:val="22"/>
          <w:szCs w:val="22"/>
        </w:rPr>
        <w:t xml:space="preserve"> Absolute freedom of navigation upon the seas, outside territorial waters, alike in peace and in war, except as the seas may be closed in whole or in part by international action for the enforcement of international covenants.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III.</w:t>
      </w:r>
      <w:r w:rsidRPr="00FB0533">
        <w:rPr>
          <w:rFonts w:ascii="Cambria" w:eastAsia="Georgia" w:hAnsi="Cambria" w:cs="Georgia"/>
          <w:sz w:val="22"/>
          <w:szCs w:val="22"/>
        </w:rPr>
        <w:t xml:space="preserve"> The removal, so far as possible, of all economic barriers and the establishment of an equality of trade conditions among all the nations consenting to the peace and associating themselves for its maintenance.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IV.</w:t>
      </w:r>
      <w:r w:rsidRPr="00FB0533">
        <w:rPr>
          <w:rFonts w:ascii="Cambria" w:eastAsia="Georgia" w:hAnsi="Cambria" w:cs="Georgia"/>
          <w:sz w:val="22"/>
          <w:szCs w:val="22"/>
        </w:rPr>
        <w:t xml:space="preserve"> Adequate guarantees given and taken that national armaments will be reduced to the lowest point consistent with domestic safety.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V.</w:t>
      </w:r>
      <w:r w:rsidRPr="00FB0533">
        <w:rPr>
          <w:rFonts w:ascii="Cambria" w:eastAsia="Georgia" w:hAnsi="Cambria" w:cs="Georgia"/>
          <w:sz w:val="22"/>
          <w:szCs w:val="22"/>
        </w:rPr>
        <w:t xml:space="preserve">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VI.</w:t>
      </w:r>
      <w:r w:rsidRPr="00FB0533">
        <w:rPr>
          <w:rFonts w:ascii="Cambria" w:eastAsia="Georgia" w:hAnsi="Cambria" w:cs="Georgia"/>
          <w:sz w:val="22"/>
          <w:szCs w:val="22"/>
        </w:rPr>
        <w:t xml:space="preserve">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lastRenderedPageBreak/>
        <w:t>VII.</w:t>
      </w:r>
      <w:r w:rsidRPr="00FB0533">
        <w:rPr>
          <w:rFonts w:ascii="Cambria" w:eastAsia="Georgia" w:hAnsi="Cambria" w:cs="Georgia"/>
          <w:sz w:val="22"/>
          <w:szCs w:val="22"/>
        </w:rPr>
        <w:t xml:space="preserve">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w:t>
      </w:r>
      <w:r>
        <w:rPr>
          <w:rFonts w:ascii="Cambria" w:eastAsia="Georgia" w:hAnsi="Cambria" w:cs="Georgia"/>
          <w:sz w:val="22"/>
          <w:szCs w:val="22"/>
        </w:rPr>
        <w:t xml:space="preserve"> </w:t>
      </w:r>
      <w:r w:rsidRPr="00FB0533">
        <w:rPr>
          <w:rFonts w:ascii="Cambria" w:eastAsia="Georgia" w:hAnsi="Cambria" w:cs="Georgia"/>
          <w:sz w:val="22"/>
          <w:szCs w:val="22"/>
        </w:rPr>
        <w:t xml:space="preserve">government of their relations with one another. Without this healing act the whole structure and validity of international law is forever impaired.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VIII.</w:t>
      </w:r>
      <w:r w:rsidRPr="00FB0533">
        <w:rPr>
          <w:rFonts w:ascii="Cambria" w:eastAsia="Georgia" w:hAnsi="Cambria" w:cs="Georgia"/>
          <w:sz w:val="22"/>
          <w:szCs w:val="22"/>
        </w:rPr>
        <w:t xml:space="preserve">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IX.</w:t>
      </w:r>
      <w:r w:rsidRPr="00FB0533">
        <w:rPr>
          <w:rFonts w:ascii="Cambria" w:eastAsia="Georgia" w:hAnsi="Cambria" w:cs="Georgia"/>
          <w:sz w:val="22"/>
          <w:szCs w:val="22"/>
        </w:rPr>
        <w:t xml:space="preserve"> A readjustment of the frontiers of Italy should be effected along clearly recognizable lines of nationality.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X.</w:t>
      </w:r>
      <w:r w:rsidRPr="00FB0533">
        <w:rPr>
          <w:rFonts w:ascii="Cambria" w:eastAsia="Georgia" w:hAnsi="Cambria" w:cs="Georgia"/>
          <w:sz w:val="22"/>
          <w:szCs w:val="22"/>
        </w:rPr>
        <w:t xml:space="preserve"> The peoples of Austria-Hungary, whose place among the nations we wish to see safeguarded and assured, should be accorded the freest opportunity to autonomous development.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XI.</w:t>
      </w:r>
      <w:r w:rsidRPr="00FB0533">
        <w:rPr>
          <w:rFonts w:ascii="Cambria" w:eastAsia="Georgia" w:hAnsi="Cambria" w:cs="Georgia"/>
          <w:sz w:val="22"/>
          <w:szCs w:val="22"/>
        </w:rPr>
        <w:t xml:space="preserve">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XII.</w:t>
      </w:r>
      <w:r w:rsidRPr="00FB0533">
        <w:rPr>
          <w:rFonts w:ascii="Cambria" w:eastAsia="Georgia" w:hAnsi="Cambria" w:cs="Georgia"/>
          <w:sz w:val="22"/>
          <w:szCs w:val="22"/>
        </w:rPr>
        <w:t xml:space="preserve">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XIII.</w:t>
      </w:r>
      <w:r w:rsidRPr="00FB0533">
        <w:rPr>
          <w:rFonts w:ascii="Cambria" w:eastAsia="Georgia" w:hAnsi="Cambria" w:cs="Georgia"/>
          <w:sz w:val="22"/>
          <w:szCs w:val="22"/>
        </w:rPr>
        <w:t xml:space="preserve">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 </w:t>
      </w:r>
    </w:p>
    <w:p w:rsidR="00335318" w:rsidRPr="00FB0533" w:rsidRDefault="00335318" w:rsidP="00335318">
      <w:pPr>
        <w:pStyle w:val="Normal1"/>
        <w:rPr>
          <w:rFonts w:ascii="Cambria" w:eastAsia="Georgia" w:hAnsi="Cambria" w:cs="Georgia"/>
          <w:bCs/>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bCs/>
          <w:sz w:val="22"/>
          <w:szCs w:val="22"/>
        </w:rPr>
        <w:t>XIV.</w:t>
      </w:r>
      <w:r w:rsidRPr="00FB0533">
        <w:rPr>
          <w:rFonts w:ascii="Cambria" w:eastAsia="Georgia" w:hAnsi="Cambria" w:cs="Georgia"/>
          <w:sz w:val="22"/>
          <w:szCs w:val="22"/>
        </w:rPr>
        <w:t xml:space="preserve"> A general association of nations must be formed under specific covenants for the purpose of affording mutual guarantees of political independence and territorial integrity to great and small states alike. </w:t>
      </w:r>
    </w:p>
    <w:p w:rsidR="00335318" w:rsidRPr="00FB0533" w:rsidRDefault="00335318" w:rsidP="00335318">
      <w:pPr>
        <w:pStyle w:val="Normal1"/>
        <w:rPr>
          <w:rFonts w:ascii="Cambria" w:eastAsia="Georgia" w:hAnsi="Cambria" w:cs="Georgia"/>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sz w:val="22"/>
          <w:szCs w:val="22"/>
        </w:rPr>
        <w:t xml:space="preserve">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 </w:t>
      </w:r>
    </w:p>
    <w:p w:rsidR="00335318" w:rsidRPr="00FB0533" w:rsidRDefault="00335318" w:rsidP="00335318">
      <w:pPr>
        <w:pStyle w:val="Normal1"/>
        <w:rPr>
          <w:rFonts w:ascii="Cambria" w:eastAsia="Georgia" w:hAnsi="Cambria" w:cs="Georgia"/>
          <w:sz w:val="22"/>
          <w:szCs w:val="22"/>
        </w:rPr>
      </w:pPr>
    </w:p>
    <w:p w:rsidR="00335318" w:rsidRPr="00FB0533" w:rsidRDefault="00335318" w:rsidP="00335318">
      <w:pPr>
        <w:pStyle w:val="Normal1"/>
        <w:rPr>
          <w:rFonts w:ascii="Cambria" w:eastAsia="Georgia" w:hAnsi="Cambria" w:cs="Georgia"/>
          <w:sz w:val="22"/>
          <w:szCs w:val="22"/>
        </w:rPr>
      </w:pPr>
      <w:r w:rsidRPr="00FB0533">
        <w:rPr>
          <w:rFonts w:ascii="Cambria" w:eastAsia="Georgia" w:hAnsi="Cambria" w:cs="Georgia"/>
          <w:sz w:val="22"/>
          <w:szCs w:val="22"/>
        </w:rPr>
        <w:t xml:space="preserve">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 We have no jealousy of German greatness, and there is nothing in this program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peace-loving nations of the world in covenants of justice and law and fair dealing. We wish her only to accept a place of equality among the peoples of the world—the new world in which we now live—instead of a place of mastery. </w:t>
      </w:r>
    </w:p>
    <w:p w:rsidR="00335318" w:rsidRPr="00FB0533" w:rsidRDefault="00335318" w:rsidP="00335318">
      <w:pPr>
        <w:pStyle w:val="Normal1"/>
        <w:rPr>
          <w:rFonts w:ascii="Calibri" w:eastAsia="Georgia" w:hAnsi="Calibri" w:cs="Georgia"/>
          <w:szCs w:val="24"/>
        </w:rPr>
      </w:pPr>
    </w:p>
    <w:p w:rsidR="00335318" w:rsidRPr="00FB0533" w:rsidRDefault="00335318" w:rsidP="00335318">
      <w:pPr>
        <w:pStyle w:val="Normal1"/>
        <w:rPr>
          <w:rFonts w:ascii="Calibri" w:eastAsia="Georgia" w:hAnsi="Calibri" w:cs="Georgia"/>
          <w:sz w:val="20"/>
        </w:rPr>
      </w:pPr>
      <w:r w:rsidRPr="00FB0533">
        <w:rPr>
          <w:rFonts w:ascii="Calibri" w:eastAsia="Georgia" w:hAnsi="Calibri" w:cs="Georgia"/>
          <w:sz w:val="20"/>
        </w:rPr>
        <w:t xml:space="preserve">Public domain. Available at the website of the Lillian Goldman Law Library, Yale University: </w:t>
      </w:r>
      <w:hyperlink r:id="rId7" w:history="1">
        <w:r w:rsidRPr="00FB0533">
          <w:rPr>
            <w:rStyle w:val="Hyperlink"/>
            <w:rFonts w:ascii="Calibri" w:eastAsia="Georgia" w:hAnsi="Calibri" w:cs="Georgia"/>
            <w:sz w:val="20"/>
          </w:rPr>
          <w:t>http://avalon.law.yale.edu/20th_century/wilson14.asp</w:t>
        </w:r>
      </w:hyperlink>
      <w:r w:rsidRPr="00FB0533">
        <w:rPr>
          <w:rFonts w:ascii="Calibri" w:eastAsia="Georgia" w:hAnsi="Calibri" w:cs="Georgia"/>
          <w:sz w:val="20"/>
        </w:rPr>
        <w:t>.</w:t>
      </w:r>
    </w:p>
    <w:p w:rsidR="00A35D99" w:rsidRPr="00FB0533" w:rsidRDefault="00A35D99" w:rsidP="00335318">
      <w:pPr>
        <w:pStyle w:val="Normal1"/>
        <w:rPr>
          <w:rFonts w:ascii="Cambria" w:eastAsia="Georgia" w:hAnsi="Cambria" w:cs="Georgia"/>
          <w:b/>
          <w:sz w:val="22"/>
          <w:szCs w:val="22"/>
        </w:rPr>
      </w:pPr>
      <w:bookmarkStart w:id="0" w:name="_GoBack"/>
      <w:bookmarkEnd w:id="0"/>
    </w:p>
    <w:p w:rsidR="00A35D99" w:rsidRPr="00FB0533" w:rsidRDefault="00A35D99" w:rsidP="00A35D99">
      <w:pPr>
        <w:pStyle w:val="Normal1"/>
        <w:rPr>
          <w:rFonts w:ascii="Cambria" w:eastAsia="Georgia" w:hAnsi="Cambria" w:cs="Georgia"/>
          <w:b/>
          <w:sz w:val="22"/>
          <w:szCs w:val="22"/>
        </w:rPr>
      </w:pPr>
    </w:p>
    <w:p w:rsidR="00A35D99" w:rsidRPr="00FB0533" w:rsidRDefault="00A35D99" w:rsidP="00A35D99">
      <w:pPr>
        <w:pStyle w:val="Normal1"/>
        <w:rPr>
          <w:rFonts w:ascii="Cambria" w:eastAsia="Georgia" w:hAnsi="Cambria" w:cs="Georgia"/>
          <w:b/>
          <w:sz w:val="22"/>
          <w:szCs w:val="22"/>
        </w:rPr>
      </w:pPr>
    </w:p>
    <w:sectPr w:rsidR="00A35D99" w:rsidRPr="00FB0533" w:rsidSect="00A35D99">
      <w:pgSz w:w="12240" w:h="15840"/>
      <w:pgMar w:top="45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99"/>
    <w:rsid w:val="00335318"/>
    <w:rsid w:val="004A4621"/>
    <w:rsid w:val="004C0818"/>
    <w:rsid w:val="005D4159"/>
    <w:rsid w:val="00A3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3093"/>
  <w15:chartTrackingRefBased/>
  <w15:docId w15:val="{F49DA501-6946-4637-8ED7-F98CBEC4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A35D99"/>
    <w:pPr>
      <w:spacing w:after="0" w:line="240" w:lineRule="auto"/>
    </w:pPr>
    <w:rPr>
      <w:rFonts w:ascii="Times New Roman" w:eastAsia="Times New Roman" w:hAnsi="Times New Roman" w:cs="Times New Roman"/>
      <w:color w:val="000000"/>
      <w:sz w:val="24"/>
      <w:szCs w:val="20"/>
    </w:rPr>
  </w:style>
  <w:style w:type="character" w:customStyle="1" w:styleId="Normal1Char">
    <w:name w:val="Normal1 Char"/>
    <w:link w:val="Normal1"/>
    <w:rsid w:val="00A35D99"/>
    <w:rPr>
      <w:rFonts w:ascii="Times New Roman" w:eastAsia="Times New Roman" w:hAnsi="Times New Roman" w:cs="Times New Roman"/>
      <w:color w:val="000000"/>
      <w:sz w:val="24"/>
      <w:szCs w:val="20"/>
    </w:rPr>
  </w:style>
  <w:style w:type="character" w:styleId="Hyperlink">
    <w:name w:val="Hyperlink"/>
    <w:uiPriority w:val="99"/>
    <w:unhideWhenUsed/>
    <w:rsid w:val="00A35D99"/>
    <w:rPr>
      <w:rFonts w:ascii="Cambria" w:hAnsi="Cambria"/>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valon.law.yale.edu/20th_century/wilson14.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3</cp:revision>
  <dcterms:created xsi:type="dcterms:W3CDTF">2018-09-03T21:49:00Z</dcterms:created>
  <dcterms:modified xsi:type="dcterms:W3CDTF">2018-09-03T21:53:00Z</dcterms:modified>
</cp:coreProperties>
</file>